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  <w:jc w:val="left"/>
      </w:pPr>
      <w:r>
        <w:rPr>
          <w:rFonts w:ascii="Microsoft YaHei" w:hAnsi="Microsoft YaHei" w:eastAsia="微软雅黑"/>
          <w:b w:val="0"/>
          <w:color w:val="A77A35"/>
          <w:sz w:val="16"/>
        </w:rPr>
        <w:t>2026 MoonBit 国产基础软件开源大赛</w:t>
      </w:r>
    </w:p>
    <w:p>
      <w:pPr>
        <w:spacing w:after="0"/>
        <w:jc w:val="left"/>
      </w:pPr>
      <w:r>
        <w:rPr>
          <w:rFonts w:ascii="Microsoft YaHei" w:hAnsi="Microsoft YaHei" w:eastAsia="微软雅黑"/>
          <w:b/>
          <w:color w:val="214E3B"/>
          <w:sz w:val="40"/>
        </w:rPr>
        <w:t>MoonResilience 项目申报书</w:t>
      </w:r>
    </w:p>
    <w:p>
      <w:pPr>
        <w:spacing w:after="100"/>
        <w:jc w:val="left"/>
      </w:pPr>
      <w:r>
        <w:rPr>
          <w:rFonts w:ascii="Microsoft YaHei" w:hAnsi="Microsoft YaHei" w:eastAsia="微软雅黑"/>
          <w:b w:val="0"/>
          <w:color w:val="526170"/>
          <w:sz w:val="19"/>
        </w:rPr>
        <w:t>MoonBit 弹性治理基础库 · 项目标识 moonresilience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757"/>
        <w:gridCol w:w="8447"/>
      </w:tblGrid>
      <w:tr>
        <w:tc>
          <w:tcPr>
            <w:tcW w:type="dxa" w:w="175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  <w:shd w:fill="F5F0E7"/>
          </w:tcPr>
          <w:p>
            <w:r>
              <w:rPr>
                <w:rFonts w:ascii="Microsoft YaHei" w:hAnsi="Microsoft YaHei" w:eastAsia="微软雅黑"/>
                <w:b/>
                <w:color w:val="214E3B"/>
                <w:sz w:val="16"/>
              </w:rPr>
              <w:t>项目名称</w:t>
            </w:r>
          </w:p>
        </w:tc>
        <w:tc>
          <w:tcPr>
            <w:tcW w:type="dxa" w:w="844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</w:tcPr>
          <w:p>
            <w:r>
              <w:rPr>
                <w:rFonts w:ascii="Microsoft YaHei" w:hAnsi="Microsoft YaHei" w:eastAsia="微软雅黑"/>
                <w:b w:val="0"/>
                <w:color w:val="17212B"/>
                <w:sz w:val="15"/>
              </w:rPr>
              <w:t>MoonResilience：MoonBit 弹性治理基础库</w:t>
            </w:r>
          </w:p>
        </w:tc>
      </w:tr>
      <w:tr>
        <w:tc>
          <w:tcPr>
            <w:tcW w:type="dxa" w:w="175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  <w:shd w:fill="F5F0E7"/>
          </w:tcPr>
          <w:p>
            <w:r>
              <w:rPr>
                <w:rFonts w:ascii="Microsoft YaHei" w:hAnsi="Microsoft YaHei" w:eastAsia="微软雅黑"/>
                <w:b/>
                <w:color w:val="214E3B"/>
                <w:sz w:val="16"/>
              </w:rPr>
              <w:t>参赛方向</w:t>
            </w:r>
          </w:p>
        </w:tc>
        <w:tc>
          <w:tcPr>
            <w:tcW w:type="dxa" w:w="844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</w:tcPr>
          <w:p>
            <w:r>
              <w:rPr>
                <w:rFonts w:ascii="Microsoft YaHei" w:hAnsi="Microsoft YaHei" w:eastAsia="微软雅黑"/>
                <w:b w:val="0"/>
                <w:color w:val="17212B"/>
                <w:sz w:val="15"/>
              </w:rPr>
              <w:t>MoonBit 国产基础软件开源生态项目</w:t>
            </w:r>
          </w:p>
        </w:tc>
      </w:tr>
      <w:tr>
        <w:tc>
          <w:tcPr>
            <w:tcW w:type="dxa" w:w="175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  <w:shd w:fill="F5F0E7"/>
          </w:tcPr>
          <w:p>
            <w:r>
              <w:rPr>
                <w:rFonts w:ascii="Microsoft YaHei" w:hAnsi="Microsoft YaHei" w:eastAsia="微软雅黑"/>
                <w:b/>
                <w:color w:val="214E3B"/>
                <w:sz w:val="16"/>
              </w:rPr>
              <w:t>开源许可证</w:t>
            </w:r>
          </w:p>
        </w:tc>
        <w:tc>
          <w:tcPr>
            <w:tcW w:type="dxa" w:w="844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</w:tcPr>
          <w:p>
            <w:r>
              <w:rPr>
                <w:rFonts w:ascii="Microsoft YaHei" w:hAnsi="Microsoft YaHei" w:eastAsia="微软雅黑"/>
                <w:b w:val="0"/>
                <w:color w:val="17212B"/>
                <w:sz w:val="15"/>
              </w:rPr>
              <w:t>Apache-2.0</w:t>
            </w:r>
          </w:p>
        </w:tc>
      </w:tr>
      <w:tr>
        <w:tc>
          <w:tcPr>
            <w:tcW w:type="dxa" w:w="175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  <w:shd w:fill="F5F0E7"/>
          </w:tcPr>
          <w:p>
            <w:r>
              <w:rPr>
                <w:rFonts w:ascii="Microsoft YaHei" w:hAnsi="Microsoft YaHei" w:eastAsia="微软雅黑"/>
                <w:b/>
                <w:color w:val="214E3B"/>
                <w:sz w:val="16"/>
              </w:rPr>
              <w:t>GitLink 仓库</w:t>
            </w:r>
          </w:p>
        </w:tc>
        <w:tc>
          <w:tcPr>
            <w:tcW w:type="dxa" w:w="844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</w:tcPr>
          <w:p>
            <w:r>
              <w:rPr>
                <w:rFonts w:ascii="Microsoft YaHei" w:hAnsi="Microsoft YaHei" w:eastAsia="微软雅黑"/>
                <w:b w:val="0"/>
                <w:color w:val="17212B"/>
                <w:sz w:val="15"/>
              </w:rPr>
              <w:t>https://www.gitlink.org.cn/q2weasd/MoonResilience</w:t>
            </w:r>
          </w:p>
        </w:tc>
      </w:tr>
      <w:tr>
        <w:tc>
          <w:tcPr>
            <w:tcW w:type="dxa" w:w="175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  <w:shd w:fill="F5F0E7"/>
          </w:tcPr>
          <w:p>
            <w:r>
              <w:rPr>
                <w:rFonts w:ascii="Microsoft YaHei" w:hAnsi="Microsoft YaHei" w:eastAsia="微软雅黑"/>
                <w:b/>
                <w:color w:val="214E3B"/>
                <w:sz w:val="16"/>
              </w:rPr>
              <w:t>GitHub 仓库</w:t>
            </w:r>
          </w:p>
        </w:tc>
        <w:tc>
          <w:tcPr>
            <w:tcW w:type="dxa" w:w="8447"/>
            <w:vAlign w:val="center"/>
            <w:tcMar>
              <w:top w:w="45" w:type="dxa"/>
              <w:start w:w="90" w:type="dxa"/>
              <w:bottom w:w="45" w:type="dxa"/>
              <w:end w:w="90" w:type="dxa"/>
            </w:tcMar>
          </w:tcPr>
          <w:p>
            <w:r>
              <w:rPr>
                <w:rFonts w:ascii="Microsoft YaHei" w:hAnsi="Microsoft YaHei" w:eastAsia="微软雅黑"/>
                <w:b w:val="0"/>
                <w:color w:val="17212B"/>
                <w:sz w:val="15"/>
              </w:rPr>
              <w:t>https://github.com/liying-han/MoonResilience</w:t>
            </w:r>
          </w:p>
        </w:tc>
      </w:tr>
    </w:tbl>
    <w:p>
      <w:pPr>
        <w:spacing w:after="0"/>
      </w:pPr>
    </w:p>
    <w:p>
      <w:pPr>
        <w:keepNext/>
        <w:spacing w:before="50" w:after="30"/>
      </w:pPr>
      <w:r>
        <w:rPr>
          <w:rFonts w:ascii="Microsoft YaHei" w:hAnsi="Microsoft YaHei" w:eastAsia="微软雅黑"/>
          <w:b/>
          <w:color w:val="214E3B"/>
          <w:sz w:val="18"/>
        </w:rPr>
        <w:t>01  项目目标与适用对象</w:t>
      </w:r>
    </w:p>
    <w:p>
      <w:pPr>
        <w:spacing w:after="50" w:line="322" w:lineRule="auto"/>
        <w:jc w:val="left"/>
      </w:pPr>
      <w:r>
        <w:rPr>
          <w:rFonts w:ascii="Microsoft YaHei" w:hAnsi="Microsoft YaHei" w:eastAsia="微软雅黑"/>
          <w:b w:val="0"/>
          <w:color w:val="17212B"/>
          <w:sz w:val="17"/>
        </w:rPr>
        <w:t>MoonResilience 面向使用 MoonBit 开发服务端程序、任务执行器、消息消费者和基础工具的开发者。项目集中处理调用链中反复出现的失败重试、故障隔离、流量控制和状态观察问题。核心库不绑定 HTTP 框架或系统时钟，调用方提供动作、策略状态和当前时间后，可在不同运行环境复用相同治理逻辑。</w:t>
      </w:r>
    </w:p>
    <w:p>
      <w:pPr>
        <w:keepNext/>
        <w:spacing w:before="50" w:after="30"/>
      </w:pPr>
      <w:r>
        <w:rPr>
          <w:rFonts w:ascii="Microsoft YaHei" w:hAnsi="Microsoft YaHei" w:eastAsia="微软雅黑"/>
          <w:b/>
          <w:color w:val="214E3B"/>
          <w:sz w:val="18"/>
        </w:rPr>
        <w:t>02  项目方案与核心能力</w:t>
      </w:r>
    </w:p>
    <w:p>
      <w:pPr>
        <w:spacing w:after="50" w:line="322" w:lineRule="auto"/>
        <w:jc w:val="left"/>
      </w:pPr>
      <w:r>
        <w:rPr>
          <w:rFonts w:ascii="Microsoft YaHei" w:hAnsi="Microsoft YaHei" w:eastAsia="微软雅黑"/>
          <w:b w:val="0"/>
          <w:color w:val="17212B"/>
          <w:sz w:val="17"/>
        </w:rPr>
        <w:t>Retry 支持固定、线性、指数和序列退避，并按最大次数、时间预算、错误码及可重试标记停止；Circuit Breaker 实现 Closed、Open、HalfOpen 状态机及恢复探测限制；Rate Limiter 提供 token bucket 和 fixed window；Bulkhead 管理并发槽位、有限等待队列、取消和 FIFO 晋升。统一执行链采用“限流、隔离、熔断、动作与重试”的固定顺序，返回最终状态、拒绝原因、尝试次数和执行轨迹。</w:t>
      </w:r>
    </w:p>
    <w:p>
      <w:pPr>
        <w:keepNext/>
        <w:spacing w:before="50" w:after="30"/>
      </w:pPr>
      <w:r>
        <w:rPr>
          <w:rFonts w:ascii="Microsoft YaHei" w:hAnsi="Microsoft YaHei" w:eastAsia="微软雅黑"/>
          <w:b/>
          <w:color w:val="214E3B"/>
          <w:sz w:val="18"/>
        </w:rPr>
        <w:t>03  技术路线</w:t>
      </w:r>
    </w:p>
    <w:p>
      <w:pPr>
        <w:spacing w:after="50" w:line="322" w:lineRule="auto"/>
        <w:jc w:val="left"/>
      </w:pPr>
      <w:r>
        <w:rPr>
          <w:rFonts w:ascii="Microsoft YaHei" w:hAnsi="Microsoft YaHei" w:eastAsia="微软雅黑"/>
          <w:b w:val="0"/>
          <w:color w:val="17212B"/>
          <w:sz w:val="17"/>
        </w:rPr>
        <w:t>项目使用纯 MoonBit 实现，不引入第三方依赖。策略对象均为显式状态值，函数返回更新后的新状态，不使用隐藏全局变量。时间相关策略统一使用毫秒整数，测试与演示通过 VirtualClock 推进时间。Config 负责配置解析与约束诊断；Telemetry 记录事件、计数和延迟分桶并导出 Prometheus 文本；Diagnostics 检查健康状态和运行时不变量；Simulation 使用预设响应复现故障与恢复过程。</w:t>
      </w:r>
    </w:p>
    <w:p>
      <w:pPr>
        <w:keepNext/>
        <w:spacing w:before="50" w:after="30"/>
      </w:pPr>
      <w:r>
        <w:rPr>
          <w:rFonts w:ascii="Microsoft YaHei" w:hAnsi="Microsoft YaHei" w:eastAsia="微软雅黑"/>
          <w:b/>
          <w:color w:val="214E3B"/>
          <w:sz w:val="18"/>
        </w:rPr>
        <w:t>04  当前成果与验证方式</w:t>
      </w:r>
    </w:p>
    <w:p>
      <w:pPr>
        <w:spacing w:after="50" w:line="322" w:lineRule="auto"/>
        <w:jc w:val="left"/>
      </w:pPr>
      <w:r>
        <w:rPr>
          <w:rFonts w:ascii="Microsoft YaHei" w:hAnsi="Microsoft YaHei" w:eastAsia="微软雅黑"/>
          <w:b w:val="0"/>
          <w:color w:val="17212B"/>
          <w:sz w:val="17"/>
        </w:rPr>
        <w:t>仓库已完成核心库、CLI 示例、配置样例、API 与架构文档，现有约 5.0k 行有效 MoonBit 代码和 100 项测试。测试覆盖退避边界、熔断状态转换、两类限流器、Bulkhead 容量耗尽、策略顺序、配置错误、时间模拟、指标导出及批量场景。评审者可直接运行 moon check、moon test 和 moon run cmd/main；README 同时列出同步执行、显式时钟等当前边界。</w:t>
      </w:r>
    </w:p>
    <w:p>
      <w:pPr>
        <w:keepNext/>
        <w:spacing w:before="50" w:after="30"/>
      </w:pPr>
      <w:r>
        <w:rPr>
          <w:rFonts w:ascii="Microsoft YaHei" w:hAnsi="Microsoft YaHei" w:eastAsia="微软雅黑"/>
          <w:b/>
          <w:color w:val="214E3B"/>
          <w:sz w:val="18"/>
        </w:rPr>
        <w:t>05  公开开发与后续计划</w:t>
      </w:r>
    </w:p>
    <w:p>
      <w:pPr>
        <w:spacing w:after="50" w:line="322" w:lineRule="auto"/>
        <w:jc w:val="left"/>
      </w:pPr>
      <w:r>
        <w:rPr>
          <w:rFonts w:ascii="Microsoft YaHei" w:hAnsi="Microsoft YaHei" w:eastAsia="微软雅黑"/>
          <w:b w:val="0"/>
          <w:color w:val="17212B"/>
          <w:sz w:val="17"/>
        </w:rPr>
        <w:t>GitLink 与 GitHub 保存相同版本，提交按模块、测试、文档和发布材料拆分。后续工作通过公开工单和功能分支记录，优先完成 HTTP 调用适配、等待队列超时、滑动窗口限流、事件订阅和跨后端一致性验证。阶段交付以测试可运行、接口文档同步和变更记录完整为验收条件。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79"/>
        <w:gridCol w:w="2579"/>
        <w:gridCol w:w="2579"/>
        <w:gridCol w:w="2579"/>
      </w:tblGrid>
      <w:tr>
        <w:tc>
          <w:tcPr>
            <w:tcW w:type="dxa" w:w="2579"/>
            <w:shd w:fill="F5F0E7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jc w:val="center"/>
            </w:pPr>
            <w:r>
              <w:rPr>
                <w:rFonts w:ascii="Microsoft YaHei" w:hAnsi="Microsoft YaHei" w:eastAsia="微软雅黑"/>
                <w:b/>
                <w:color w:val="214E3B"/>
                <w:sz w:val="18"/>
              </w:rPr>
              <w:t>4 类</w:t>
              <w:br/>
            </w:r>
            <w:r>
              <w:rPr>
                <w:rFonts w:ascii="Microsoft YaHei" w:hAnsi="Microsoft YaHei" w:eastAsia="微软雅黑"/>
                <w:b w:val="0"/>
                <w:color w:val="526170"/>
                <w:sz w:val="14"/>
              </w:rPr>
              <w:t>基础策略</w:t>
            </w:r>
          </w:p>
        </w:tc>
        <w:tc>
          <w:tcPr>
            <w:tcW w:type="dxa" w:w="2579"/>
            <w:shd w:fill="F5F0E7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jc w:val="center"/>
            </w:pPr>
            <w:r>
              <w:rPr>
                <w:rFonts w:ascii="Microsoft YaHei" w:hAnsi="Microsoft YaHei" w:eastAsia="微软雅黑"/>
                <w:b/>
                <w:color w:val="214E3B"/>
                <w:sz w:val="18"/>
              </w:rPr>
              <w:t>2 种</w:t>
              <w:br/>
            </w:r>
            <w:r>
              <w:rPr>
                <w:rFonts w:ascii="Microsoft YaHei" w:hAnsi="Microsoft YaHei" w:eastAsia="微软雅黑"/>
                <w:b w:val="0"/>
                <w:color w:val="526170"/>
                <w:sz w:val="14"/>
              </w:rPr>
              <w:t>限流算法</w:t>
            </w:r>
          </w:p>
        </w:tc>
        <w:tc>
          <w:tcPr>
            <w:tcW w:type="dxa" w:w="2579"/>
            <w:shd w:fill="F5F0E7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jc w:val="center"/>
            </w:pPr>
            <w:r>
              <w:rPr>
                <w:rFonts w:ascii="Microsoft YaHei" w:hAnsi="Microsoft YaHei" w:eastAsia="微软雅黑"/>
                <w:b/>
                <w:color w:val="214E3B"/>
                <w:sz w:val="18"/>
              </w:rPr>
              <w:t>约 5.0k 行</w:t>
              <w:br/>
            </w:r>
            <w:r>
              <w:rPr>
                <w:rFonts w:ascii="Microsoft YaHei" w:hAnsi="Microsoft YaHei" w:eastAsia="微软雅黑"/>
                <w:b w:val="0"/>
                <w:color w:val="526170"/>
                <w:sz w:val="14"/>
              </w:rPr>
              <w:t>有效 MoonBit 代码</w:t>
            </w:r>
          </w:p>
        </w:tc>
        <w:tc>
          <w:tcPr>
            <w:tcW w:type="dxa" w:w="2579"/>
            <w:shd w:fill="F5F0E7"/>
            <w:tcMar>
              <w:top w:w="70" w:type="dxa"/>
              <w:start w:w="90" w:type="dxa"/>
              <w:bottom w:w="70" w:type="dxa"/>
              <w:end w:w="90" w:type="dxa"/>
            </w:tcMar>
            <w:vAlign w:val="center"/>
          </w:tcPr>
          <w:p>
            <w:pPr>
              <w:jc w:val="center"/>
            </w:pPr>
            <w:r>
              <w:rPr>
                <w:rFonts w:ascii="Microsoft YaHei" w:hAnsi="Microsoft YaHei" w:eastAsia="微软雅黑"/>
                <w:b/>
                <w:color w:val="214E3B"/>
                <w:sz w:val="18"/>
              </w:rPr>
              <w:t>100 项</w:t>
              <w:br/>
            </w:r>
            <w:r>
              <w:rPr>
                <w:rFonts w:ascii="Microsoft YaHei" w:hAnsi="Microsoft YaHei" w:eastAsia="微软雅黑"/>
                <w:b w:val="0"/>
                <w:color w:val="526170"/>
                <w:sz w:val="14"/>
              </w:rPr>
              <w:t>自动化测试</w:t>
            </w:r>
          </w:p>
        </w:tc>
      </w:tr>
    </w:tbl>
    <w:p>
      <w:pPr>
        <w:spacing w:before="40" w:after="0"/>
      </w:pPr>
      <w:r>
        <w:rPr>
          <w:rFonts w:ascii="Microsoft YaHei" w:hAnsi="Microsoft YaHei" w:eastAsia="微软雅黑"/>
          <w:b w:val="0"/>
          <w:color w:val="526170"/>
          <w:sz w:val="15"/>
        </w:rPr>
        <w:t>阶段状态：基础原型、CLI、测试和接口文档已完成，可直接复现主要策略行为。</w:t>
      </w:r>
    </w:p>
    <w:p>
      <w:pPr>
        <w:spacing w:before="0" w:after="20"/>
      </w:pPr>
      <w:r>
        <w:rPr>
          <w:rFonts w:ascii="Microsoft YaHei" w:hAnsi="Microsoft YaHei" w:eastAsia="微软雅黑"/>
          <w:b w:val="0"/>
          <w:color w:val="526170"/>
          <w:sz w:val="15"/>
        </w:rPr>
        <w:t>当前边界：核心库不直接发起网络请求；生产接入层负责提供实际时钟与异步调度。</w:t>
      </w:r>
    </w:p>
    <w:p>
      <w:pPr>
        <w:spacing w:before="60" w:after="0"/>
        <w:jc w:val="center"/>
      </w:pPr>
      <w:r>
        <w:rPr>
          <w:rFonts w:ascii="Microsoft YaHei" w:hAnsi="Microsoft YaHei" w:eastAsia="微软雅黑"/>
          <w:b w:val="0"/>
          <w:color w:val="526170"/>
          <w:sz w:val="14"/>
        </w:rPr>
        <w:t>验证命令：moon info · moon fmt · moon check --warn-list +73 · moon test · moon run cmd/main</w:t>
      </w:r>
    </w:p>
    <w:sectPr w:rsidR="00FC693F" w:rsidRPr="0006063C" w:rsidSect="00034616">
      <w:pgSz w:w="11906" w:h="16838"/>
      <w:pgMar w:top="624" w:right="794" w:bottom="567" w:left="794" w:header="283" w:footer="28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0" w:line="283" w:lineRule="auto"/>
    </w:pPr>
    <w:rPr>
      <w:rFonts w:ascii="Microsoft YaHei" w:hAnsi="Microsoft YaHei" w:eastAsia="微软雅黑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MoonResilience 项目申报书</dc:title>
  <dc:subject>MoonBit 弹性治理基础库</dc:subject>
  <dc:creator>MoonResilience</dc:creator>
  <cp:keywords>MoonBit, resilience, OSC2026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