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 w:eastAsia="Microsoft YaHei"/>
          <w:b/>
          <w:color w:val="6A7886"/>
          <w:sz w:val="16"/>
        </w:rPr>
        <w:t>MOONBIT OPEN SOURCE BRIEF</w:t>
      </w:r>
    </w:p>
    <w:p>
      <w:pPr>
        <w:jc w:val="left"/>
        <w:pBdr>
          <w:bottom w:val="single" w:sz="8" w:space="4" w:color="9EB2C5"/>
        </w:pBdr>
      </w:pPr>
      <w:r>
        <w:rPr>
          <w:rFonts w:ascii="Microsoft YaHei" w:hAnsi="Microsoft YaHei" w:eastAsia="Microsoft YaHei"/>
          <w:b/>
          <w:color w:val="16324F"/>
          <w:sz w:val="48"/>
        </w:rPr>
        <w:t>MoonModGuard 开源技术说明书</w:t>
      </w:r>
    </w:p>
    <w:p>
      <w:pPr>
        <w:spacing w:after="200"/>
      </w:pPr>
      <w:r>
        <w:rPr>
          <w:rFonts w:ascii="Microsoft YaHei" w:hAnsi="Microsoft YaHei" w:eastAsia="Microsoft YaHei"/>
          <w:b w:val="0"/>
          <w:color w:val="4A6178"/>
          <w:sz w:val="24"/>
        </w:rPr>
        <w:t>MoonBit 项目清单与供应链策略审计器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97"/>
        <w:gridCol w:w="4997"/>
      </w:tblGrid>
      <w:tr>
        <w:tc>
          <w:tcPr>
            <w:tcW w:type="dxa" w:w="4997"/>
            <w:shd w:fill="E7EEF5"/>
          </w:tcPr>
          <w:p>
            <w:r>
              <w:t>GitHub 主仓库</w:t>
            </w:r>
          </w:p>
        </w:tc>
        <w:tc>
          <w:tcPr>
            <w:tcW w:type="dxa" w:w="4997"/>
            <w:shd w:fill="F7FAFC"/>
          </w:tcPr>
          <w:p>
            <w:r>
              <w:t>https://github.com/Noverberrain/MoonModGuard-MoonBit-</w:t>
            </w:r>
          </w:p>
        </w:tc>
      </w:tr>
      <w:tr>
        <w:tc>
          <w:tcPr>
            <w:tcW w:type="dxa" w:w="4997"/>
            <w:shd w:fill="E7EEF5"/>
          </w:tcPr>
          <w:p>
            <w:r>
              <w:t>GitLink 镜像仓库</w:t>
            </w:r>
          </w:p>
        </w:tc>
        <w:tc>
          <w:tcPr>
            <w:tcW w:type="dxa" w:w="4997"/>
            <w:shd w:fill="F7FAFC"/>
          </w:tcPr>
          <w:p>
            <w:r>
              <w:t>https://gitlink.org.cn/Wyc060514/moonmodguard</w:t>
            </w:r>
          </w:p>
        </w:tc>
      </w:tr>
      <w:tr>
        <w:tc>
          <w:tcPr>
            <w:tcW w:type="dxa" w:w="4997"/>
            <w:shd w:fill="E7EEF5"/>
          </w:tcPr>
          <w:p>
            <w:r>
              <w:t>核心作者</w:t>
            </w:r>
          </w:p>
        </w:tc>
        <w:tc>
          <w:tcPr>
            <w:tcW w:type="dxa" w:w="4997"/>
            <w:shd w:fill="F7FAFC"/>
          </w:tcPr>
          <w:p>
            <w:r>
              <w:t>wyc060514</w:t>
            </w:r>
          </w:p>
        </w:tc>
      </w:tr>
      <w:tr>
        <w:tc>
          <w:tcPr>
            <w:tcW w:type="dxa" w:w="4997"/>
            <w:shd w:fill="E7EEF5"/>
          </w:tcPr>
          <w:p>
            <w:r>
              <w:t>开源许可证</w:t>
            </w:r>
          </w:p>
        </w:tc>
        <w:tc>
          <w:tcPr>
            <w:tcW w:type="dxa" w:w="4997"/>
            <w:shd w:fill="F7FAFC"/>
          </w:tcPr>
          <w:p>
            <w:r>
              <w:t>Apache-2.0</w:t>
            </w:r>
          </w:p>
        </w:tc>
      </w:tr>
      <w:tr>
        <w:tc>
          <w:tcPr>
            <w:tcW w:type="dxa" w:w="4997"/>
            <w:shd w:fill="E7EEF5"/>
          </w:tcPr>
          <w:p>
            <w:r>
              <w:t>参赛方向</w:t>
            </w:r>
          </w:p>
        </w:tc>
        <w:tc>
          <w:tcPr>
            <w:tcW w:type="dxa" w:w="4997"/>
            <w:shd w:fill="F7FAFC"/>
          </w:tcPr>
          <w:p>
            <w:r>
              <w:t>MoonBit 国产基础软件开源生态项目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97"/>
        <w:gridCol w:w="4997"/>
      </w:tblGrid>
      <w:tr>
        <w:tc>
          <w:tcPr>
            <w:tcW w:type="dxa" w:w="4997"/>
            <w:shd w:fill="FFFFFF"/>
          </w:tcPr>
          <w:p>
            <w:r/>
            <w:r>
              <w:rPr>
                <w:rFonts w:ascii="Microsoft YaHei" w:hAnsi="Microsoft YaHei" w:eastAsia="Microsoft YaHei"/>
                <w:b/>
                <w:color w:val="5F6F80"/>
                <w:sz w:val="18"/>
              </w:rPr>
              <w:t>定位</w:t>
              <w:br/>
            </w:r>
            <w:r>
              <w:rPr>
                <w:rFonts w:ascii="Microsoft YaHei" w:hAnsi="Microsoft YaHei" w:eastAsia="Microsoft YaHei"/>
                <w:b w:val="0"/>
                <w:color w:val="1F2D3A"/>
                <w:sz w:val="18"/>
              </w:rPr>
              <w:t>面向 MoonBit 工程清单的发布前自检与策略审计工具。</w:t>
            </w:r>
          </w:p>
        </w:tc>
        <w:tc>
          <w:tcPr>
            <w:tcW w:type="dxa" w:w="4997"/>
            <w:shd w:fill="FFFFFF"/>
          </w:tcPr>
          <w:p>
            <w:r/>
            <w:r>
              <w:rPr>
                <w:rFonts w:ascii="Microsoft YaHei" w:hAnsi="Microsoft YaHei" w:eastAsia="Microsoft YaHei"/>
                <w:b/>
                <w:color w:val="5F6F80"/>
                <w:sz w:val="18"/>
              </w:rPr>
              <w:t>对象</w:t>
              <w:br/>
            </w:r>
            <w:r>
              <w:rPr>
                <w:rFonts w:ascii="Microsoft YaHei" w:hAnsi="Microsoft YaHei" w:eastAsia="Microsoft YaHei"/>
                <w:b w:val="0"/>
                <w:color w:val="1F2D3A"/>
                <w:sz w:val="18"/>
              </w:rPr>
              <w:t>解析 moon.mod、moon.pkg，提取元数据、依赖和导入别名。</w:t>
            </w:r>
          </w:p>
        </w:tc>
      </w:tr>
      <w:tr>
        <w:tc>
          <w:tcPr>
            <w:tcW w:type="dxa" w:w="4997"/>
            <w:shd w:fill="FFFFFF"/>
          </w:tcPr>
          <w:p>
            <w:r/>
            <w:r>
              <w:rPr>
                <w:rFonts w:ascii="Microsoft YaHei" w:hAnsi="Microsoft YaHei" w:eastAsia="Microsoft YaHei"/>
                <w:b/>
                <w:color w:val="5F6F80"/>
                <w:sz w:val="18"/>
              </w:rPr>
              <w:t>价值</w:t>
              <w:br/>
            </w:r>
            <w:r>
              <w:rPr>
                <w:rFonts w:ascii="Microsoft YaHei" w:hAnsi="Microsoft YaHei" w:eastAsia="Microsoft YaHei"/>
                <w:b w:val="0"/>
                <w:color w:val="1F2D3A"/>
                <w:sz w:val="18"/>
              </w:rPr>
              <w:t>补齐清单完整性、许可证策略和依赖透明度检查能力。</w:t>
            </w:r>
          </w:p>
        </w:tc>
        <w:tc>
          <w:tcPr>
            <w:tcW w:type="dxa" w:w="4997"/>
            <w:shd w:fill="FFFFFF"/>
          </w:tcPr>
          <w:p>
            <w:r/>
            <w:r>
              <w:rPr>
                <w:rFonts w:ascii="Microsoft YaHei" w:hAnsi="Microsoft YaHei" w:eastAsia="Microsoft YaHei"/>
                <w:b/>
                <w:color w:val="5F6F80"/>
                <w:sz w:val="18"/>
              </w:rPr>
              <w:t>交付</w:t>
              <w:br/>
            </w:r>
            <w:r>
              <w:rPr>
                <w:rFonts w:ascii="Microsoft YaHei" w:hAnsi="Microsoft YaHei" w:eastAsia="Microsoft YaHei"/>
                <w:b w:val="0"/>
                <w:color w:val="1F2D3A"/>
                <w:sz w:val="18"/>
              </w:rPr>
              <w:t>提供核心库、CLI 示例、测试、CI、README 与申报材料。</w:t>
            </w:r>
          </w:p>
        </w:tc>
      </w:tr>
    </w:tbl>
    <w:p>
      <w:pPr>
        <w:spacing w:before="180" w:after="60"/>
      </w:pPr>
      <w:r>
        <w:rPr>
          <w:rFonts w:ascii="Microsoft YaHei" w:hAnsi="Microsoft YaHei" w:eastAsia="Microsoft YaHei"/>
          <w:b/>
          <w:color w:val="16324F"/>
          <w:sz w:val="28"/>
        </w:rPr>
        <w:t>评审摘要</w:t>
      </w:r>
    </w:p>
    <w:p>
      <w:pPr>
        <w:spacing w:line="324" w:lineRule="auto"/>
        <w:ind w:firstLine="420"/>
      </w:pPr>
      <w:r>
        <w:rPr>
          <w:rFonts w:ascii="Microsoft YaHei" w:hAnsi="Microsoft YaHei" w:eastAsia="Microsoft YaHei"/>
          <w:b w:val="0"/>
          <w:color w:val="202A33"/>
          <w:sz w:val="20"/>
        </w:rPr>
        <w:t>MoonModGuard 面向 MoonBit 项目的工程清单质量与供应链策略检查，提供轻量、可测试、可嵌入的审计内核。它解析 moon.mod 与 moon.pkg 文本，抽取项目元数据、包级依赖、导入别名和发布信息，并将这些信息统一转化为可复查的策略诊断报告。首版优先补齐发布前自检能力，而不是构建平台型服务。</w:t>
      </w:r>
    </w:p>
    <w:p>
      <w:pPr>
        <w:spacing w:before="180" w:after="60"/>
      </w:pPr>
      <w:r>
        <w:rPr>
          <w:rFonts w:ascii="Microsoft YaHei" w:hAnsi="Microsoft YaHei" w:eastAsia="Microsoft YaHei"/>
          <w:b/>
          <w:color w:val="16324F"/>
          <w:sz w:val="28"/>
        </w:rPr>
        <w:t>选题价值</w:t>
      </w:r>
    </w:p>
    <w:p>
      <w:pPr>
        <w:spacing w:line="324" w:lineRule="auto"/>
        <w:ind w:firstLine="420"/>
      </w:pPr>
      <w:r>
        <w:rPr>
          <w:rFonts w:ascii="Microsoft YaHei" w:hAnsi="Microsoft YaHei" w:eastAsia="Microsoft YaHei"/>
          <w:b w:val="0"/>
          <w:color w:val="202A33"/>
          <w:sz w:val="20"/>
        </w:rPr>
        <w:t>MoonBit 生态会持续积累包、模板和教学工程。随着项目数量增加，单个仓库是否具备可发布、可维护、可审计的基础条件，会直接影响生态复用效率。MoonModGuard 将人工阅读清单文件的经验沉淀为基础软件能力，适用于包发布、竞赛验收、课程规范检查和后续 CI 策略审计。</w:t>
      </w:r>
    </w:p>
    <w:p>
      <w:pPr>
        <w:spacing w:before="180" w:after="60"/>
      </w:pPr>
      <w:r>
        <w:rPr>
          <w:rFonts w:ascii="Microsoft YaHei" w:hAnsi="Microsoft YaHei" w:eastAsia="Microsoft YaHei"/>
          <w:b/>
          <w:color w:val="16324F"/>
          <w:sz w:val="28"/>
        </w:rPr>
        <w:t>技术方案</w:t>
      </w:r>
    </w:p>
    <w:p>
      <w:pPr>
        <w:spacing w:line="324" w:lineRule="auto"/>
        <w:ind w:firstLine="420"/>
      </w:pPr>
      <w:r>
        <w:rPr>
          <w:rFonts w:ascii="Microsoft YaHei" w:hAnsi="Microsoft YaHei" w:eastAsia="Microsoft YaHei"/>
          <w:b w:val="0"/>
          <w:color w:val="202A33"/>
          <w:sz w:val="20"/>
        </w:rPr>
        <w:t>系统采用清单解析层、项目建模层、策略评估层和报告生成层。解析层读取 moon.mod 与 moon.pkg 字符串；建模层合并模块级与包级信息；策略层检查必填元数据、许可证 allowlist、可信依赖前缀和重复依赖；报告层输出稳定 Markdown，供 CLI、CI 或文档系统复用。</w:t>
      </w:r>
    </w:p>
    <w:p>
      <w:pPr>
        <w:spacing w:before="180" w:after="60"/>
      </w:pPr>
      <w:r>
        <w:rPr>
          <w:rFonts w:ascii="Microsoft YaHei" w:hAnsi="Microsoft YaHei" w:eastAsia="Microsoft YaHei"/>
          <w:b/>
          <w:color w:val="16324F"/>
          <w:sz w:val="28"/>
        </w:rPr>
        <w:t>实现边界</w:t>
      </w:r>
    </w:p>
    <w:p>
      <w:pPr>
        <w:spacing w:line="324" w:lineRule="auto"/>
        <w:ind w:firstLine="420"/>
      </w:pPr>
      <w:r>
        <w:rPr>
          <w:rFonts w:ascii="Microsoft YaHei" w:hAnsi="Microsoft YaHei" w:eastAsia="Microsoft YaHei"/>
          <w:b w:val="0"/>
          <w:color w:val="202A33"/>
          <w:sz w:val="20"/>
        </w:rPr>
        <w:t>首版采用显式输入字符串与内存快照的方式，不做真实文件系统扫描、在线包仓库查询或完整 MoonBit 语法解析。这个边界降低实现风险，使核心逻辑更容易测试，也便于后续扩展真实工作区扫描器。</w:t>
      </w:r>
    </w:p>
    <w:p>
      <w:pPr>
        <w:spacing w:before="180" w:after="60"/>
      </w:pPr>
      <w:r>
        <w:rPr>
          <w:rFonts w:ascii="Microsoft YaHei" w:hAnsi="Microsoft YaHei" w:eastAsia="Microsoft YaHei"/>
          <w:b/>
          <w:color w:val="16324F"/>
          <w:sz w:val="28"/>
        </w:rPr>
        <w:t>验证证据</w:t>
      </w:r>
    </w:p>
    <w:p>
      <w:pPr>
        <w:spacing w:line="324" w:lineRule="auto"/>
        <w:ind w:firstLine="420"/>
      </w:pPr>
      <w:r>
        <w:rPr>
          <w:rFonts w:ascii="Microsoft YaHei" w:hAnsi="Microsoft YaHei" w:eastAsia="Microsoft YaHei"/>
          <w:b w:val="0"/>
          <w:color w:val="202A33"/>
          <w:sz w:val="20"/>
        </w:rPr>
        <w:t>当前验证覆盖 moon.mod 标量字段解析、keywords 数组解析、模块级 import 解析、包级 import 解析、缺失元数据诊断、非 allowlist 许可证诊断、未知依赖前缀诊断、重复依赖诊断和 Markdown 报告稳定输出。验证命令包括 moon info、moon fmt --check、moon test 和 moon run cmd/main。</w:t>
      </w:r>
    </w:p>
    <w:p>
      <w:pPr>
        <w:spacing w:before="180" w:after="60"/>
      </w:pPr>
      <w:r>
        <w:rPr>
          <w:rFonts w:ascii="Microsoft YaHei" w:hAnsi="Microsoft YaHei" w:eastAsia="Microsoft YaHei"/>
          <w:b/>
          <w:color w:val="16324F"/>
          <w:sz w:val="28"/>
        </w:rPr>
        <w:t>开源计划</w:t>
      </w:r>
    </w:p>
    <w:p>
      <w:pPr>
        <w:spacing w:line="324" w:lineRule="auto"/>
        <w:ind w:firstLine="420"/>
      </w:pPr>
      <w:r>
        <w:rPr>
          <w:rFonts w:ascii="Microsoft YaHei" w:hAnsi="Microsoft YaHei" w:eastAsia="Microsoft YaHei"/>
          <w:b w:val="0"/>
          <w:color w:val="202A33"/>
          <w:sz w:val="20"/>
        </w:rPr>
        <w:t>项目以 GitHub 仓库作为官方开源发布地址，满足赛事阶段一对有效 GitHub 仓库链接的要求；GitLink 仓库作为赛事平台镜像，用于同步提交和平台验收。后续迭代将优先保持核心 API 稳定、测试可复现、报告输出可比对。</w:t>
      </w:r>
    </w:p>
    <w:p>
      <w:r>
        <w:rPr>
          <w:rFonts w:ascii="Microsoft YaHei" w:hAnsi="Microsoft YaHei" w:eastAsia="Microsoft YaHei"/>
          <w:b/>
          <w:color w:val="16324F"/>
          <w:sz w:val="28"/>
        </w:rPr>
        <w:t>核心 API 交付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97"/>
        <w:gridCol w:w="4997"/>
      </w:tblGrid>
      <w:tr>
        <w:tc>
          <w:tcPr>
            <w:tcW w:type="dxa" w:w="4997"/>
            <w:shd w:fill="EEF4F8"/>
          </w:tcPr>
          <w:p>
            <w:r>
              <w:t>parse_mod</w:t>
            </w:r>
          </w:p>
        </w:tc>
        <w:tc>
          <w:tcPr>
            <w:tcW w:type="dxa" w:w="4997"/>
          </w:tcPr>
          <w:p>
            <w:r>
              <w:t>解析模块清单中的名称、版本、许可证、README、仓库、关键词和依赖。</w:t>
            </w:r>
          </w:p>
        </w:tc>
      </w:tr>
      <w:tr>
        <w:tc>
          <w:tcPr>
            <w:tcW w:type="dxa" w:w="4997"/>
            <w:shd w:fill="EEF4F8"/>
          </w:tcPr>
          <w:p>
            <w:r>
              <w:t>parse_pkg</w:t>
            </w:r>
          </w:p>
        </w:tc>
        <w:tc>
          <w:tcPr>
            <w:tcW w:type="dxa" w:w="4997"/>
          </w:tcPr>
          <w:p>
            <w:r>
              <w:t>解析包级 import 依赖与别名。</w:t>
            </w:r>
          </w:p>
        </w:tc>
      </w:tr>
      <w:tr>
        <w:tc>
          <w:tcPr>
            <w:tcW w:type="dxa" w:w="4997"/>
            <w:shd w:fill="EEF4F8"/>
          </w:tcPr>
          <w:p>
            <w:r>
              <w:t>project_from</w:t>
            </w:r>
          </w:p>
        </w:tc>
        <w:tc>
          <w:tcPr>
            <w:tcW w:type="dxa" w:w="4997"/>
          </w:tcPr>
          <w:p>
            <w:r>
              <w:t>组合模块与包信息，构建统一项目模型。</w:t>
            </w:r>
          </w:p>
        </w:tc>
      </w:tr>
      <w:tr>
        <w:tc>
          <w:tcPr>
            <w:tcW w:type="dxa" w:w="4997"/>
            <w:shd w:fill="EEF4F8"/>
          </w:tcPr>
          <w:p>
            <w:r>
              <w:t>evaluate_policy</w:t>
            </w:r>
          </w:p>
        </w:tc>
        <w:tc>
          <w:tcPr>
            <w:tcW w:type="dxa" w:w="4997"/>
          </w:tcPr>
          <w:p>
            <w:r>
              <w:t>依据策略生成元数据、许可证和依赖诊断。</w:t>
            </w:r>
          </w:p>
        </w:tc>
      </w:tr>
      <w:tr>
        <w:tc>
          <w:tcPr>
            <w:tcW w:type="dxa" w:w="4997"/>
            <w:shd w:fill="EEF4F8"/>
          </w:tcPr>
          <w:p>
            <w:r>
              <w:t>render_markdown</w:t>
            </w:r>
          </w:p>
        </w:tc>
        <w:tc>
          <w:tcPr>
            <w:tcW w:type="dxa" w:w="4997"/>
          </w:tcPr>
          <w:p>
            <w:r>
              <w:t>输出稳定审计文本，便于提交、比对和 CI 集成。</w:t>
            </w:r>
          </w:p>
        </w:tc>
      </w:tr>
    </w:tbl>
    <w:sectPr w:rsidR="00FC693F" w:rsidRPr="0006063C" w:rsidSect="00034616"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